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720" w:right="3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  <w:rtl w:val="0"/>
        </w:rPr>
        <w:t xml:space="preserve">OBJETIVO</w:t>
      </w:r>
    </w:p>
    <w:p w:rsidR="00000000" w:rsidDel="00000000" w:rsidP="00000000" w:rsidRDefault="00000000" w:rsidRPr="00000000" w14:paraId="00000002">
      <w:pPr>
        <w:ind w:left="0" w:firstLine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Definir las actividades normalmente ejecutadas para realizar la prevención de caídas de los pacientes en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Salud y Bienestar con establecimiento de comercio Luz y Vida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3">
      <w:pPr>
        <w:ind w:left="720" w:firstLine="0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44owv43crlig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20" w:firstLine="0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logoirbtop6o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720" w:right="3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bookmarkStart w:colFirst="0" w:colLast="0" w:name="_heading=h.1fob9te" w:id="4"/>
      <w:bookmarkEnd w:id="4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  <w:rtl w:val="0"/>
        </w:rPr>
        <w:t xml:space="preserve">ALCANCE</w:t>
      </w:r>
    </w:p>
    <w:p w:rsidR="00000000" w:rsidDel="00000000" w:rsidP="00000000" w:rsidRDefault="00000000" w:rsidRPr="00000000" w14:paraId="00000006">
      <w:pPr>
        <w:spacing w:after="200" w:line="276" w:lineRule="auto"/>
        <w:ind w:left="0" w:firstLine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El protocolo inicia con la necesidad del paciente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 ser atendido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para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realizar una atención, en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Salud y Bienestar con establecimiento de comercio Luz y Vida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spacing w:after="200" w:line="276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720" w:right="3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  <w:rtl w:val="0"/>
        </w:rPr>
        <w:t xml:space="preserve">ENFOQUE DIFERENCIAL</w:t>
      </w:r>
    </w:p>
    <w:p w:rsidR="00000000" w:rsidDel="00000000" w:rsidP="00000000" w:rsidRDefault="00000000" w:rsidRPr="00000000" w14:paraId="00000009">
      <w:pPr>
        <w:widowControl w:val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Dentro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 la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IPS Salud y Bienestar con Establecimiento de Comercio Luz y Vida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 atienden pacientes sin importar su edad, género, raza, etnia, condición de discapacidad. Sin ningún tipo de discriminación, marginación, invisibilizarían y violencia, permitiendo la inclusión de la población vulnerable con discapacidad múltiple, trastornos médicos subyacentes, ciclo de vida (adulto y vejez), inclusión étnica (afrodescendiente, indígena, Rron, Gitano), Orientación sexual e identidad de género (hombre, mujer y población LGTBI), Población rural y urbana, Migrantes, nivel educativo y victimas de conflicto armado.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720" w:right="3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  <w:rtl w:val="0"/>
        </w:rPr>
        <w:t xml:space="preserve">RECURSOS</w:t>
      </w:r>
    </w:p>
    <w:tbl>
      <w:tblPr>
        <w:tblStyle w:val="Table1"/>
        <w:tblW w:w="882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1417"/>
        <w:gridCol w:w="1276"/>
        <w:gridCol w:w="1559"/>
        <w:gridCol w:w="1551"/>
        <w:gridCol w:w="1470"/>
        <w:tblGridChange w:id="0">
          <w:tblGrid>
            <w:gridCol w:w="1555"/>
            <w:gridCol w:w="1417"/>
            <w:gridCol w:w="1276"/>
            <w:gridCol w:w="1559"/>
            <w:gridCol w:w="1551"/>
            <w:gridCol w:w="1470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vertAlign w:val="baseline"/>
                <w:rtl w:val="0"/>
              </w:rPr>
              <w:t xml:space="preserve">RECURSOS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b6d7a8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vertAlign w:val="baseline"/>
                <w:rtl w:val="0"/>
              </w:rPr>
              <w:t xml:space="preserve">TALENTO HUMANO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b6d7a8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vertAlign w:val="baseline"/>
                <w:rtl w:val="0"/>
              </w:rPr>
              <w:t xml:space="preserve">EQUIPOS BIOMÉDICOS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b6d7a8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vertAlign w:val="baseline"/>
                <w:rtl w:val="0"/>
              </w:rPr>
              <w:t xml:space="preserve">INSTRUMENTAL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b6d7a8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vertAlign w:val="baseline"/>
                <w:rtl w:val="0"/>
              </w:rPr>
              <w:t xml:space="preserve">MEDICAMENTOS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b6d7a8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vertAlign w:val="baseline"/>
                <w:rtl w:val="0"/>
              </w:rPr>
              <w:t xml:space="preserve">DISPOSITIVOS MÉDICOS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d9ead3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vertAlign w:val="baseline"/>
                <w:rtl w:val="0"/>
              </w:rPr>
              <w:t xml:space="preserve">ACTIVIDADES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b6d7a8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b6d7a8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b6d7a8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b6d7a8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b6d7a8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vertAlign w:val="baseline"/>
                <w:rtl w:val="0"/>
              </w:rPr>
              <w:t xml:space="preserve">PREVENCIÓN DE CAÍDA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  <w:rtl w:val="0"/>
              </w:rPr>
              <w:t xml:space="preserve">Auxiliar de enfermería</w:t>
            </w:r>
          </w:p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  <w:rtl w:val="0"/>
              </w:rPr>
              <w:t xml:space="preserve"> recepcionista </w:t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  <w:rtl w:val="0"/>
              </w:rPr>
              <w:t xml:space="preserve">Medico</w:t>
            </w:r>
          </w:p>
          <w:p w:rsidR="00000000" w:rsidDel="00000000" w:rsidP="00000000" w:rsidRDefault="00000000" w:rsidRPr="00000000" w14:paraId="0000001C">
            <w:pPr>
              <w:jc w:val="left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NR</w:t>
            </w:r>
          </w:p>
        </w:tc>
      </w:tr>
    </w:tbl>
    <w:p w:rsidR="00000000" w:rsidDel="00000000" w:rsidP="00000000" w:rsidRDefault="00000000" w:rsidRPr="00000000" w14:paraId="00000021">
      <w:pPr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vertAlign w:val="baseline"/>
          <w:rtl w:val="0"/>
        </w:rPr>
        <w:t xml:space="preserve">NR: No se requiere en este protocolo</w:t>
      </w:r>
    </w:p>
    <w:p w:rsidR="00000000" w:rsidDel="00000000" w:rsidP="00000000" w:rsidRDefault="00000000" w:rsidRPr="00000000" w14:paraId="00000022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720" w:right="3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  <w:rtl w:val="0"/>
        </w:rPr>
        <w:t xml:space="preserve">MARCO NORMATIVO </w:t>
      </w:r>
    </w:p>
    <w:tbl>
      <w:tblPr>
        <w:tblStyle w:val="Table2"/>
        <w:tblW w:w="9054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60"/>
        <w:gridCol w:w="6394"/>
        <w:tblGridChange w:id="0">
          <w:tblGrid>
            <w:gridCol w:w="2660"/>
            <w:gridCol w:w="639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Decreto 780 del 2016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Decreto Único reglamentario del sector salud.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Resolución 3100 del 2019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Por la cual se definen los procedimientos y condiciones de inscripción de los prestadores de servicios de salud y de habilitación de los servicios de salud y se adopta el Manual de Inscripción de Prestadores y Habilitación de Servicios de Salud.</w:t>
            </w:r>
          </w:p>
        </w:tc>
      </w:tr>
    </w:tbl>
    <w:p w:rsidR="00000000" w:rsidDel="00000000" w:rsidP="00000000" w:rsidRDefault="00000000" w:rsidRPr="00000000" w14:paraId="00000027">
      <w:pPr>
        <w:widowControl w:val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keepLines w:val="1"/>
        <w:numPr>
          <w:ilvl w:val="1"/>
          <w:numId w:val="1"/>
        </w:numPr>
        <w:spacing w:after="200" w:before="200" w:line="276" w:lineRule="auto"/>
        <w:ind w:left="1440" w:right="30" w:hanging="36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  <w:rtl w:val="0"/>
        </w:rPr>
        <w:t xml:space="preserve">DEFINICIONES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Ind w:w="-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580"/>
        <w:gridCol w:w="6780"/>
        <w:tblGridChange w:id="0">
          <w:tblGrid>
            <w:gridCol w:w="2580"/>
            <w:gridCol w:w="6780"/>
          </w:tblGrid>
        </w:tblGridChange>
      </w:tblGrid>
      <w:tr>
        <w:trPr>
          <w:cantSplit w:val="0"/>
          <w:tblHeader w:val="0"/>
        </w:trPr>
        <w:tc>
          <w:tcPr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CAÍDA</w:t>
            </w:r>
          </w:p>
        </w:tc>
        <w:tc>
          <w:tcPr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Movimiento descendente repentino, no intencional del cuerpo hacía  el suelo u otra superficie excluyendo caídas resultantes de golpes violentos o acciones deliberadas.</w:t>
            </w:r>
          </w:p>
        </w:tc>
      </w:tr>
      <w:tr>
        <w:trPr>
          <w:cantSplit w:val="0"/>
          <w:tblHeader w:val="0"/>
        </w:trPr>
        <w:tc>
          <w:tcPr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RIESGO DE CAÍDA</w:t>
            </w:r>
          </w:p>
        </w:tc>
        <w:tc>
          <w:tcPr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Aumento de la susceptibilidad a las caídas que pueden causar daño físico.</w:t>
            </w:r>
          </w:p>
        </w:tc>
      </w:tr>
      <w:tr>
        <w:trPr>
          <w:cantSplit w:val="0"/>
          <w:tblHeader w:val="0"/>
        </w:trPr>
        <w:tc>
          <w:tcPr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DEAMBULACIÓN</w:t>
            </w:r>
          </w:p>
        </w:tc>
        <w:tc>
          <w:tcPr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Se refiere a la forma como el paciente camina.</w:t>
            </w:r>
          </w:p>
        </w:tc>
      </w:tr>
    </w:tbl>
    <w:p w:rsidR="00000000" w:rsidDel="00000000" w:rsidP="00000000" w:rsidRDefault="00000000" w:rsidRPr="00000000" w14:paraId="00000030">
      <w:pPr>
        <w:rPr>
          <w:sz w:val="20"/>
          <w:szCs w:val="20"/>
          <w:vertAlign w:val="baseline"/>
        </w:rPr>
      </w:pPr>
      <w:bookmarkStart w:colFirst="0" w:colLast="0" w:name="_heading=h.2et92p0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1"/>
        <w:keepLines w:val="1"/>
        <w:numPr>
          <w:ilvl w:val="1"/>
          <w:numId w:val="1"/>
        </w:numPr>
        <w:spacing w:after="200" w:before="200" w:line="276" w:lineRule="auto"/>
        <w:ind w:left="1440" w:right="30" w:hanging="36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  <w:rtl w:val="0"/>
        </w:rPr>
        <w:t xml:space="preserve">ABREVIATURAS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sz w:val="20"/>
          <w:szCs w:val="20"/>
          <w:vertAlign w:val="baseline"/>
        </w:rPr>
      </w:pPr>
      <w:bookmarkStart w:colFirst="0" w:colLast="0" w:name="_heading=h.tyjcwt" w:id="6"/>
      <w:bookmarkEnd w:id="6"/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Ind w:w="-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890"/>
        <w:gridCol w:w="7470"/>
        <w:tblGridChange w:id="0">
          <w:tblGrid>
            <w:gridCol w:w="1890"/>
            <w:gridCol w:w="7470"/>
          </w:tblGrid>
        </w:tblGridChange>
      </w:tblGrid>
      <w:tr>
        <w:trPr>
          <w:cantSplit w:val="0"/>
          <w:tblHeader w:val="0"/>
        </w:trPr>
        <w:tc>
          <w:tcPr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right w:color="000000" w:space="0" w:sz="8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ind w:right="78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NINGUNA</w:t>
            </w:r>
          </w:p>
        </w:tc>
      </w:tr>
    </w:tbl>
    <w:p w:rsidR="00000000" w:rsidDel="00000000" w:rsidP="00000000" w:rsidRDefault="00000000" w:rsidRPr="00000000" w14:paraId="00000036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1"/>
        <w:keepLines w:val="1"/>
        <w:numPr>
          <w:ilvl w:val="0"/>
          <w:numId w:val="1"/>
        </w:numPr>
        <w:spacing w:after="200" w:before="200" w:line="276" w:lineRule="auto"/>
        <w:ind w:left="720" w:right="30" w:hanging="36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  <w:rtl w:val="0"/>
        </w:rPr>
        <w:t xml:space="preserve">EVALUACIÓN DEL RIESGO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897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10"/>
        <w:gridCol w:w="5387"/>
        <w:tblGridChange w:id="0">
          <w:tblGrid>
            <w:gridCol w:w="3510"/>
            <w:gridCol w:w="5387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POSIBLE RIESGO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ACTIVIDAD MINIMIZACIÓN DEL RIESGO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No i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dentificar los criterios de riesgo del paciente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Salud y Bienestar con establecimiento de comercio Luz y Vida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, hace identificación de los posibles riesgos del paciente, durante la primera atención.  </w:t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No registrar en Historia Clínica el posible riesgo de una caída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Salud y Bienestar con establecimiento de comercio Luz y Vida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, siempre registrará en Historia Clínica del paciente, los riesgos de caída que se han presentado durante su atención en la consulta.</w:t>
            </w:r>
          </w:p>
        </w:tc>
      </w:tr>
    </w:tbl>
    <w:p w:rsidR="00000000" w:rsidDel="00000000" w:rsidP="00000000" w:rsidRDefault="00000000" w:rsidRPr="00000000" w14:paraId="00000041">
      <w:pPr>
        <w:spacing w:line="276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DESARROLLO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Arial" w:cs="Arial" w:eastAsia="Arial" w:hAnsi="Arial"/>
          <w:color w:val="ff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Mediante identificación visual valorar el riesgo de caída de todo paciente, que ingrese 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Salud y Bienestar con establecimiento de comercio Luz y Vida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los criterios a evaluar son: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Paciente con mala visibilidad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Paciente Agitado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Funcionalmente afectado (dificultad al caminar o para sostenerse)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Paciente que requiere ir frecuentemente al baño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Paciente con movilidad disminuida</w:t>
      </w:r>
    </w:p>
    <w:p w:rsidR="00000000" w:rsidDel="00000000" w:rsidP="00000000" w:rsidRDefault="00000000" w:rsidRPr="00000000" w14:paraId="0000004C">
      <w:pPr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Al momento de identificar un paciente con estas características, se debe informar a todas las áreas de la existencia de este, verbalmente, con el objetivo de minimizar el riesgo de la caída; al no realizar  las siguientes acciones inseguras:</w:t>
      </w:r>
    </w:p>
    <w:p w:rsidR="00000000" w:rsidDel="00000000" w:rsidP="00000000" w:rsidRDefault="00000000" w:rsidRPr="00000000" w14:paraId="0000004E">
      <w:pPr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Dejar el paciente solo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Inmovilización inadecuada del paciente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Pisos mojados o enjabonados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Traslado del paciente por medios inadecuados y sin medidas de protección</w:t>
      </w:r>
    </w:p>
    <w:p w:rsidR="00000000" w:rsidDel="00000000" w:rsidP="00000000" w:rsidRDefault="00000000" w:rsidRPr="00000000" w14:paraId="00000053">
      <w:pPr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En ausencia de familiar o acudiente más la imposibilidad del paciente para la toma de decisiones; será el profesional del paciente quien pondrá en práctica las medidas que correspondan según la clasificación del riesgo, hasta que un familiar o acudiente se haga presente.</w:t>
      </w:r>
    </w:p>
    <w:p w:rsidR="00000000" w:rsidDel="00000000" w:rsidP="00000000" w:rsidRDefault="00000000" w:rsidRPr="00000000" w14:paraId="00000055">
      <w:pPr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En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Salud y Bienestar con establecimiento de comercio Luz y Vida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se tomarán las siguientes Medidas de Prevención de caídas para todos los pacientes:</w:t>
      </w:r>
    </w:p>
    <w:p w:rsidR="00000000" w:rsidDel="00000000" w:rsidP="00000000" w:rsidRDefault="00000000" w:rsidRPr="00000000" w14:paraId="00000057">
      <w:pPr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Mantener el piso seco 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No dejar el paciente solo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Educación a familiar o acudiente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Evitar obstáculos en pasillos, salas etc.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Asegurar buena iluminación en las áreas de atención y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deambulación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del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paciente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D">
      <w:pPr>
        <w:ind w:left="360" w:firstLine="348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Acompañamiento por aux de enfermería</w:t>
      </w:r>
    </w:p>
    <w:p w:rsidR="00000000" w:rsidDel="00000000" w:rsidP="00000000" w:rsidRDefault="00000000" w:rsidRPr="00000000" w14:paraId="0000005E">
      <w:pPr>
        <w:ind w:left="360" w:firstLine="348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1"/>
        <w:keepLines w:val="1"/>
        <w:numPr>
          <w:ilvl w:val="0"/>
          <w:numId w:val="1"/>
        </w:numPr>
        <w:spacing w:after="200" w:before="200" w:line="276" w:lineRule="auto"/>
        <w:ind w:left="720" w:right="30" w:hanging="36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BIBLIOGRAFÍA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720" w:firstLine="0"/>
        <w:jc w:val="both"/>
        <w:rPr>
          <w:rFonts w:ascii="Arial" w:cs="Arial" w:eastAsia="Arial" w:hAnsi="Arial"/>
          <w:b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5"/>
        </w:numPr>
        <w:spacing w:line="276" w:lineRule="auto"/>
        <w:ind w:left="720" w:hanging="360"/>
        <w:jc w:val="both"/>
        <w:rPr>
          <w:rFonts w:ascii="Arial" w:cs="Arial" w:eastAsia="Arial" w:hAnsi="Arial"/>
          <w:sz w:val="20"/>
          <w:szCs w:val="20"/>
          <w:vertAlign w:val="baseline"/>
        </w:rPr>
      </w:pPr>
      <w:bookmarkStart w:colFirst="0" w:colLast="0" w:name="_heading=h.3dy6vkm" w:id="7"/>
      <w:bookmarkEnd w:id="7"/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Procesos para la prevención y reducción de la frecuencia de caídas – Paquetes Instruccionales – Ministerio de la Protección Social.</w:t>
      </w:r>
    </w:p>
    <w:p w:rsidR="00000000" w:rsidDel="00000000" w:rsidP="00000000" w:rsidRDefault="00000000" w:rsidRPr="00000000" w14:paraId="00000063">
      <w:pPr>
        <w:shd w:fill="ffffff" w:val="clear"/>
        <w:spacing w:after="72" w:line="276" w:lineRule="auto"/>
        <w:ind w:left="708" w:firstLine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5842" w:w="12242" w:orient="portrait"/>
      <w:pgMar w:bottom="1418" w:top="1418" w:left="1701" w:right="1701" w:header="709" w:footer="37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Georgia"/>
  <w:font w:name="Arial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36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360" w:firstLine="0"/>
      <w:jc w:val="left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4">
    <w:pPr>
      <w:widowControl w:val="0"/>
      <w:spacing w:line="276" w:lineRule="auto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6"/>
      <w:tblW w:w="9450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175"/>
      <w:gridCol w:w="3075"/>
      <w:gridCol w:w="1740"/>
      <w:gridCol w:w="2460"/>
      <w:tblGridChange w:id="0">
        <w:tblGrid>
          <w:gridCol w:w="2175"/>
          <w:gridCol w:w="3075"/>
          <w:gridCol w:w="1740"/>
          <w:gridCol w:w="2460"/>
        </w:tblGrid>
      </w:tblGridChange>
    </w:tblGrid>
    <w:tr>
      <w:trPr>
        <w:cantSplit w:val="1"/>
        <w:trHeight w:val="689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65">
          <w:pPr>
            <w:tabs>
              <w:tab w:val="center" w:pos="4419"/>
              <w:tab w:val="right" w:pos="8838"/>
            </w:tabs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</w:rPr>
            <w:drawing>
              <wp:inline distB="114300" distT="114300" distL="114300" distR="114300">
                <wp:extent cx="1285875" cy="485775"/>
                <wp:effectExtent b="0" l="0" r="0" t="0"/>
                <wp:docPr id="102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87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66">
          <w:pPr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8"/>
              <w:szCs w:val="18"/>
              <w:rtl w:val="0"/>
            </w:rPr>
            <w:t xml:space="preserve">PROTOCOLO DE PREVENCIÓN DE CAÍDAS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561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A">
          <w:pPr>
            <w:spacing w:after="200" w:lineRule="auto"/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SP-PC-03</w:t>
          </w:r>
        </w:p>
      </w:tc>
      <w:tc>
        <w:tcPr>
          <w:vAlign w:val="center"/>
        </w:tcPr>
        <w:p w:rsidR="00000000" w:rsidDel="00000000" w:rsidP="00000000" w:rsidRDefault="00000000" w:rsidRPr="00000000" w14:paraId="0000006B">
          <w:pPr>
            <w:spacing w:after="200" w:lineRule="auto"/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Versión: 01</w:t>
          </w:r>
        </w:p>
      </w:tc>
      <w:tc>
        <w:tcPr>
          <w:vAlign w:val="center"/>
        </w:tcPr>
        <w:p w:rsidR="00000000" w:rsidDel="00000000" w:rsidP="00000000" w:rsidRDefault="00000000" w:rsidRPr="00000000" w14:paraId="0000006C">
          <w:pPr>
            <w:spacing w:after="200" w:lineRule="auto"/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Página  </w:t>
          </w:r>
          <w:r w:rsidDel="00000000" w:rsidR="00000000" w:rsidRPr="00000000">
            <w:rPr>
              <w:rFonts w:ascii="Arial" w:cs="Arial" w:eastAsia="Arial" w:hAnsi="Arial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u w:val="none"/>
        <w:vertAlign w:val="baseli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  <w:vertAlign w:val="baseli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  <w:vertAlign w:val="baseli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  <w:vertAlign w:val="baseli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  <w:vertAlign w:val="baseli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  <w:vertAlign w:val="baseli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  <w:vertAlign w:val="baseline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mic Sans MS" w:hAnsi="Comic Sans MS"/>
      <w:color w:val="000000"/>
      <w:w w:val="100"/>
      <w:position w:val="-1"/>
      <w:sz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36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 w:val="1"/>
      <w:bCs w:val="1"/>
      <w:color w:val="auto"/>
      <w:w w:val="100"/>
      <w:position w:val="-1"/>
      <w:sz w:val="22"/>
      <w:szCs w:val="24"/>
      <w:effect w:val="none"/>
      <w:vertAlign w:val="baseline"/>
      <w:cs w:val="0"/>
      <w:em w:val="none"/>
      <w:lang w:bidi="ar-SA" w:eastAsia="es-CO" w:val="es-ES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1"/>
    </w:pPr>
    <w:rPr>
      <w:rFonts w:ascii="Arial" w:cs="Arial" w:hAnsi="Arial"/>
      <w:b w:val="1"/>
      <w:bCs w:val="1"/>
      <w:color w:val="auto"/>
      <w:w w:val="100"/>
      <w:position w:val="-1"/>
      <w:sz w:val="22"/>
      <w:szCs w:val="24"/>
      <w:effect w:val="none"/>
      <w:vertAlign w:val="baseline"/>
      <w:cs w:val="0"/>
      <w:em w:val="none"/>
      <w:lang w:bidi="ar-SA" w:eastAsia="es-CO" w:val="es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hAnsi="Arial"/>
      <w:b w:val="1"/>
      <w:bCs w:val="1"/>
      <w:color w:val="000000"/>
      <w:w w:val="100"/>
      <w:position w:val="-1"/>
      <w:sz w:val="26"/>
      <w:szCs w:val="26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mic Sans MS" w:hAnsi="Comic Sans MS"/>
      <w:color w:val="000000"/>
      <w:w w:val="100"/>
      <w:position w:val="-1"/>
      <w:sz w:val="24"/>
      <w:effect w:val="none"/>
      <w:vertAlign w:val="baseline"/>
      <w:cs w:val="0"/>
      <w:em w:val="none"/>
      <w:lang w:bidi="ar-SA" w:eastAsia="es-ES" w:val="es-ES"/>
    </w:rPr>
  </w:style>
  <w:style w:type="paragraph" w:styleId="Encabezado1">
    <w:name w:val="Encabezado1"/>
    <w:basedOn w:val="Normal"/>
    <w:next w:val="Encabezado1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mic Sans MS" w:hAnsi="Comic Sans MS"/>
      <w:color w:val="000000"/>
      <w:w w:val="100"/>
      <w:position w:val="-1"/>
      <w:sz w:val="24"/>
      <w:effect w:val="none"/>
      <w:vertAlign w:val="baseline"/>
      <w:cs w:val="0"/>
      <w:em w:val="none"/>
      <w:lang w:bidi="ar-SA" w:eastAsia="en-US" w:val="es-ES"/>
    </w:rPr>
  </w:style>
  <w:style w:type="paragraph" w:styleId="Sangríadetextonormal">
    <w:name w:val="Sangría de texto normal"/>
    <w:basedOn w:val="Normal"/>
    <w:next w:val="Sangríadetextonormal"/>
    <w:autoRedefine w:val="0"/>
    <w:hidden w:val="0"/>
    <w:qFormat w:val="0"/>
    <w:pPr>
      <w:widowControl w:val="0"/>
      <w:tabs>
        <w:tab w:val="left" w:leader="none" w:pos="1440"/>
      </w:tabs>
      <w:suppressAutoHyphens w:val="0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ahoma" w:hAnsi="Tahoma"/>
      <w:color w:val="000000"/>
      <w:w w:val="100"/>
      <w:position w:val="-1"/>
      <w:sz w:val="24"/>
      <w:effect w:val="none"/>
      <w:vertAlign w:val="baseline"/>
      <w:cs w:val="0"/>
      <w:em w:val="none"/>
      <w:lang w:bidi="ar-SA" w:eastAsia="es-ES" w:val="es-CO"/>
    </w:rPr>
  </w:style>
  <w:style w:type="paragraph" w:styleId="Sangría3det.independiente">
    <w:name w:val="Sangría 3 de t. independiente"/>
    <w:basedOn w:val="Normal"/>
    <w:next w:val="Sangría3det.independiente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Comic Sans MS" w:hAnsi="Comic Sans MS"/>
      <w:color w:val="000000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mic Sans MS" w:hAnsi="Comic Sans MS"/>
      <w:color w:val="000000"/>
      <w:w w:val="100"/>
      <w:position w:val="-1"/>
      <w:sz w:val="24"/>
      <w:effect w:val="none"/>
      <w:vertAlign w:val="baseline"/>
      <w:cs w:val="0"/>
      <w:em w:val="none"/>
      <w:lang w:bidi="ar-SA" w:eastAsia="es-ES" w:val="es-ES"/>
    </w:rPr>
  </w:style>
  <w:style w:type="character" w:styleId="Númerodepágina">
    <w:name w:val="Número de página"/>
    <w:basedOn w:val="Fuentedepárrafopredeter.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0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Comic Sans MS" w:hAnsi="Comic Sans MS"/>
      <w:color w:val="000000"/>
      <w:w w:val="100"/>
      <w:position w:val="-1"/>
      <w:sz w:val="24"/>
      <w:effect w:val="none"/>
      <w:vertAlign w:val="baseline"/>
      <w:cs w:val="0"/>
      <w:em w:val="none"/>
      <w:lang w:bidi="ar-SA" w:eastAsia="es-ES" w:val="es-ES"/>
    </w:r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hAnsi="Times New Roman"/>
      <w:b w:val="1"/>
      <w:bCs w:val="1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hAnsi="Times New Roman"/>
      <w:b w:val="1"/>
      <w:bCs w:val="1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extoindependiente2">
    <w:name w:val="Texto independiente 2"/>
    <w:basedOn w:val="Normal"/>
    <w:next w:val="Textoindependiente2"/>
    <w:autoRedefine w:val="0"/>
    <w:hidden w:val="0"/>
    <w:qFormat w:val="0"/>
    <w:pPr>
      <w:suppressAutoHyphens w:val="0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Comic Sans MS" w:hAnsi="Comic Sans MS"/>
      <w:color w:val="000000"/>
      <w:w w:val="100"/>
      <w:position w:val="-1"/>
      <w:sz w:val="24"/>
      <w:effect w:val="none"/>
      <w:vertAlign w:val="baseline"/>
      <w:cs w:val="0"/>
      <w:em w:val="none"/>
      <w:lang w:bidi="ar-SA" w:eastAsia="es-ES" w:val="es-ES"/>
    </w:rPr>
  </w:style>
  <w:style w:type="paragraph" w:styleId="Sangría2det.independiente">
    <w:name w:val="Sangría 2 de t. independiente"/>
    <w:basedOn w:val="Normal"/>
    <w:next w:val="Sangría2det.independiente"/>
    <w:autoRedefine w:val="0"/>
    <w:hidden w:val="0"/>
    <w:qFormat w:val="0"/>
    <w:pPr>
      <w:suppressAutoHyphens w:val="0"/>
      <w:spacing w:after="120" w:line="480" w:lineRule="auto"/>
      <w:ind w:left="283" w:leftChars="-1" w:rightChars="0" w:firstLineChars="-1"/>
      <w:textDirection w:val="btLr"/>
      <w:textAlignment w:val="top"/>
      <w:outlineLvl w:val="0"/>
    </w:pPr>
    <w:rPr>
      <w:rFonts w:ascii="Comic Sans MS" w:hAnsi="Comic Sans MS"/>
      <w:color w:val="000000"/>
      <w:w w:val="100"/>
      <w:position w:val="-1"/>
      <w:sz w:val="24"/>
      <w:effect w:val="none"/>
      <w:vertAlign w:val="baseline"/>
      <w:cs w:val="0"/>
      <w:em w:val="none"/>
      <w:lang w:bidi="ar-SA" w:eastAsia="es-ES" w:val="es-ES"/>
    </w:rPr>
  </w:style>
  <w:style w:type="character" w:styleId="EncabezadoCar">
    <w:name w:val="Encabezado Car"/>
    <w:next w:val="EncabezadoCar"/>
    <w:autoRedefine w:val="0"/>
    <w:hidden w:val="0"/>
    <w:qFormat w:val="0"/>
    <w:rPr>
      <w:rFonts w:ascii="Comic Sans MS" w:hAnsi="Comic Sans MS"/>
      <w:color w:val="000000"/>
      <w:w w:val="100"/>
      <w:position w:val="-1"/>
      <w:sz w:val="24"/>
      <w:effect w:val="none"/>
      <w:vertAlign w:val="baseline"/>
      <w:cs w:val="0"/>
      <w:em w:val="none"/>
      <w:lang w:eastAsia="es-ES" w:val="es-ES"/>
    </w:rPr>
  </w:style>
  <w:style w:type="character" w:styleId="PiedepáginaCar">
    <w:name w:val="Pie de página Car"/>
    <w:next w:val="PiedepáginaCar"/>
    <w:autoRedefine w:val="0"/>
    <w:hidden w:val="0"/>
    <w:qFormat w:val="0"/>
    <w:rPr>
      <w:rFonts w:ascii="Comic Sans MS" w:hAnsi="Comic Sans MS"/>
      <w:color w:val="000000"/>
      <w:w w:val="100"/>
      <w:position w:val="-1"/>
      <w:sz w:val="24"/>
      <w:effect w:val="none"/>
      <w:vertAlign w:val="baseline"/>
      <w:cs w:val="0"/>
      <w:em w:val="none"/>
      <w:lang w:val="es-ES"/>
    </w:rPr>
  </w:style>
  <w:style w:type="character" w:styleId="Hipervínculo">
    <w:name w:val="Hipervínculo"/>
    <w:next w:val="Hipervínculo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Hipervínculovisitado">
    <w:name w:val="Hipervínculo visitado"/>
    <w:next w:val="Hipervínculo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" w:hAnsi="Times"/>
      <w:color w:val="auto"/>
      <w:w w:val="100"/>
      <w:position w:val="-1"/>
      <w:sz w:val="20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Qft8ArKw2J9je+IgJ44DKCoHlA==">AMUW2mW87WJM+qeUq1J6GFKGBQz+uzLrYZ6lzgRsNWc2h66/ND2GkL/M/W6DC9RoVSiUd5nW0tXIBsm3b/kUxotDc4OzqNl3sNJ88seHV0ZoMaChE/DfaLSRETA5C7zFT9kutvxpMIIixONRxEN2g7tCTFmSqOv6hy8m2f6HtFneUZPnbQFLdfrBj7GSJjrSTGi9RzyCnc0l8fcooQDJRe5EK9VNDNtqrT18hO3nxODJL8NdoiA+3K4=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2020-07-26T23:48:00Z</dcterms:created>
  <dc:creator>IALM</dc:creator>
</cp:coreProperties>
</file>